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97" w:rsidRDefault="00324197" w:rsidP="00324197">
      <w:pPr>
        <w:pStyle w:val="Ttulo1"/>
        <w:ind w:left="212" w:right="208" w:hanging="5"/>
        <w:jc w:val="center"/>
      </w:pPr>
      <w:r>
        <w:t xml:space="preserve">PUBLICACIÓN ANEXOS TECNICOS </w:t>
      </w:r>
      <w:r>
        <w:t>COMPONENTES TOPOGRAFICOS, GEOTECNICOS, ESTRUCTURALES E HIDRAULICOS</w:t>
      </w:r>
      <w:r>
        <w:t xml:space="preserve"> </w:t>
      </w:r>
      <w:r>
        <w:t>LP-150-2022</w:t>
      </w:r>
    </w:p>
    <w:p w:rsidR="00324197" w:rsidRDefault="00324197" w:rsidP="00324197">
      <w:pPr>
        <w:pStyle w:val="Ttulo1"/>
        <w:spacing w:before="79"/>
        <w:ind w:left="212" w:right="208" w:hanging="5"/>
        <w:jc w:val="both"/>
      </w:pPr>
    </w:p>
    <w:p w:rsidR="00324197" w:rsidRDefault="00324197" w:rsidP="00324197">
      <w:pPr>
        <w:ind w:left="118" w:right="284"/>
        <w:jc w:val="both"/>
        <w:rPr>
          <w:b/>
          <w:sz w:val="24"/>
        </w:rPr>
      </w:pPr>
      <w:r>
        <w:rPr>
          <w:b/>
          <w:sz w:val="24"/>
        </w:rPr>
        <w:t xml:space="preserve">OBJETO </w:t>
      </w:r>
      <w:r w:rsidRPr="00DE6504">
        <w:rPr>
          <w:b/>
          <w:sz w:val="24"/>
        </w:rPr>
        <w:t>"</w:t>
      </w:r>
      <w:r w:rsidRPr="00F91438">
        <w:rPr>
          <w:b/>
          <w:bCs/>
          <w:sz w:val="24"/>
          <w:lang w:val="es-CO"/>
        </w:rPr>
        <w:t>CONTRATAR LAS CANTIDADES DE OBRAS NECESARIAS PARA LA PUESTA EN FUNCIONAMIENTO DEL PROYECTO ACUEDUCTO COMPLEMENTARIO DESDE LA BOCATOMA CÓCORA HASTA LA PTAP LA POLA Y LAS LÍNEAS DE ABASTECIMIENTO Y DISTRIBUCIÓN DEL TANQUE SUR EN LA CIUDAD DE IBAGUÉ</w:t>
      </w:r>
      <w:r w:rsidRPr="00785885">
        <w:rPr>
          <w:b/>
          <w:sz w:val="24"/>
        </w:rPr>
        <w:t>”</w:t>
      </w:r>
      <w:r>
        <w:rPr>
          <w:b/>
          <w:sz w:val="24"/>
        </w:rPr>
        <w:t>.</w:t>
      </w:r>
    </w:p>
    <w:p w:rsidR="00324197" w:rsidRDefault="00324197" w:rsidP="00324197">
      <w:pPr>
        <w:ind w:left="118" w:right="284"/>
        <w:jc w:val="both"/>
        <w:rPr>
          <w:b/>
          <w:sz w:val="24"/>
        </w:rPr>
      </w:pPr>
    </w:p>
    <w:p w:rsidR="00747ACE" w:rsidRDefault="00324197" w:rsidP="00747ACE">
      <w:pPr>
        <w:ind w:left="118" w:right="284"/>
        <w:jc w:val="both"/>
        <w:rPr>
          <w:sz w:val="24"/>
        </w:rPr>
      </w:pPr>
      <w:r w:rsidRPr="00324197">
        <w:rPr>
          <w:sz w:val="24"/>
        </w:rPr>
        <w:t xml:space="preserve">Se deja constancia </w:t>
      </w:r>
      <w:r>
        <w:rPr>
          <w:sz w:val="24"/>
        </w:rPr>
        <w:t xml:space="preserve">que teniendo en cuenta el tamaño de los anexos técnicos relacionados con los COMPONENTES TOPOGRAFICOS, GEOTECNICOS, ESTRUCTURALES E HIDRAULICOS y ante la imposibilidad de la publicación de los mismos </w:t>
      </w:r>
      <w:r w:rsidR="00747ACE">
        <w:rPr>
          <w:sz w:val="24"/>
        </w:rPr>
        <w:t xml:space="preserve">de manera directa </w:t>
      </w:r>
      <w:r>
        <w:rPr>
          <w:sz w:val="24"/>
        </w:rPr>
        <w:t>en la plataforma del SECOP II, se comparte el siguiente link para visualización de todos los anexos técnicos antes indicados</w:t>
      </w:r>
      <w:r w:rsidR="00747ACE">
        <w:rPr>
          <w:sz w:val="24"/>
        </w:rPr>
        <w:t>:</w:t>
      </w:r>
    </w:p>
    <w:p w:rsidR="00747ACE" w:rsidRDefault="00747ACE" w:rsidP="00747ACE">
      <w:pPr>
        <w:ind w:left="118" w:right="284"/>
        <w:jc w:val="both"/>
        <w:rPr>
          <w:sz w:val="24"/>
        </w:rPr>
      </w:pPr>
    </w:p>
    <w:p w:rsidR="00400FC3" w:rsidRDefault="00400FC3" w:rsidP="00747ACE">
      <w:pPr>
        <w:ind w:left="118" w:right="284"/>
        <w:jc w:val="both"/>
        <w:rPr>
          <w:sz w:val="24"/>
        </w:rPr>
      </w:pPr>
      <w:hyperlink r:id="rId5" w:history="1">
        <w:r w:rsidRPr="003C1CC2">
          <w:rPr>
            <w:rStyle w:val="Hipervnculo"/>
            <w:sz w:val="24"/>
          </w:rPr>
          <w:t>https://drive.google.com/drive/folders/1Va5RozaceAvbHD</w:t>
        </w:r>
        <w:r w:rsidRPr="003C1CC2">
          <w:rPr>
            <w:rStyle w:val="Hipervnculo"/>
            <w:sz w:val="24"/>
          </w:rPr>
          <w:t>0</w:t>
        </w:r>
        <w:r w:rsidRPr="003C1CC2">
          <w:rPr>
            <w:rStyle w:val="Hipervnculo"/>
            <w:sz w:val="24"/>
          </w:rPr>
          <w:t>2wVyE17YfOcxuHfua</w:t>
        </w:r>
      </w:hyperlink>
    </w:p>
    <w:p w:rsidR="00400FC3" w:rsidRDefault="00400FC3" w:rsidP="00747ACE">
      <w:pPr>
        <w:ind w:left="118" w:right="284"/>
        <w:jc w:val="both"/>
        <w:rPr>
          <w:sz w:val="24"/>
        </w:rPr>
      </w:pPr>
    </w:p>
    <w:p w:rsidR="00747ACE" w:rsidRPr="00324197" w:rsidRDefault="00747ACE" w:rsidP="00747ACE">
      <w:pPr>
        <w:ind w:left="118" w:right="284"/>
        <w:jc w:val="both"/>
        <w:rPr>
          <w:sz w:val="24"/>
        </w:rPr>
      </w:pPr>
      <w:bookmarkStart w:id="0" w:name="_GoBack"/>
      <w:bookmarkEnd w:id="0"/>
    </w:p>
    <w:p w:rsidR="00324197" w:rsidRDefault="00324197" w:rsidP="00324197">
      <w:pPr>
        <w:pStyle w:val="Textoindependiente"/>
        <w:jc w:val="center"/>
        <w:rPr>
          <w:b/>
          <w:sz w:val="26"/>
        </w:rPr>
      </w:pPr>
    </w:p>
    <w:p w:rsidR="0017550F" w:rsidRDefault="0017550F"/>
    <w:sectPr w:rsidR="0017550F">
      <w:headerReference w:type="default" r:id="rId6"/>
      <w:footerReference w:type="default" r:id="rId7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CC" w:rsidRDefault="00400FC3" w:rsidP="00DB1AC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  <w:p w:rsidR="00DB1ACC" w:rsidRDefault="00400FC3" w:rsidP="00DB1AC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noProof/>
        <w:sz w:val="16"/>
        <w:szCs w:val="16"/>
        <w:lang w:val="es-CO" w:eastAsia="es-CO" w:bidi="ar-SA"/>
      </w:rPr>
      <w:drawing>
        <wp:inline distT="114300" distB="114300" distL="114300" distR="114300" wp14:anchorId="0073076E" wp14:editId="57F0BA96">
          <wp:extent cx="5696903" cy="117209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6903" cy="1172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CC" w:rsidRPr="00DB1ACC" w:rsidRDefault="00400FC3" w:rsidP="00DB1ACC">
    <w:pPr>
      <w:widowControl/>
      <w:pBdr>
        <w:top w:val="nil"/>
        <w:left w:val="nil"/>
        <w:bottom w:val="nil"/>
        <w:right w:val="nil"/>
        <w:between w:val="nil"/>
      </w:pBdr>
      <w:autoSpaceDE/>
      <w:autoSpaceDN/>
      <w:jc w:val="right"/>
      <w:rPr>
        <w:rFonts w:ascii="Calibri" w:eastAsia="Calibri" w:hAnsi="Calibri" w:cs="Calibri"/>
        <w:color w:val="000000"/>
        <w:lang w:val="es-CO" w:eastAsia="en-US" w:bidi="ar-SA"/>
      </w:rPr>
    </w:pPr>
    <w:r w:rsidRPr="00DB1ACC">
      <w:rPr>
        <w:rFonts w:ascii="Calibri" w:eastAsia="Calibri" w:hAnsi="Calibri" w:cs="Calibri"/>
        <w:noProof/>
        <w:lang w:val="es-CO" w:eastAsia="es-CO" w:bidi="ar-SA"/>
      </w:rPr>
      <w:drawing>
        <wp:anchor distT="114300" distB="114300" distL="114300" distR="114300" simplePos="0" relativeHeight="251659264" behindDoc="0" locked="0" layoutInCell="1" hidden="0" allowOverlap="1" wp14:anchorId="4041AA28" wp14:editId="3229962D">
          <wp:simplePos x="0" y="0"/>
          <wp:positionH relativeFrom="column">
            <wp:posOffset>-527685</wp:posOffset>
          </wp:positionH>
          <wp:positionV relativeFrom="paragraph">
            <wp:posOffset>-128270</wp:posOffset>
          </wp:positionV>
          <wp:extent cx="2009775" cy="971550"/>
          <wp:effectExtent l="0" t="0" r="0" b="0"/>
          <wp:wrapSquare wrapText="bothSides" distT="114300" distB="11430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ACC">
      <w:rPr>
        <w:rFonts w:ascii="Calibri" w:eastAsia="Calibri" w:hAnsi="Calibri" w:cs="Calibri"/>
        <w:color w:val="000000"/>
        <w:lang w:val="es-CO" w:eastAsia="en-US" w:bidi="ar-SA"/>
      </w:rPr>
      <w:tab/>
    </w:r>
    <w:r w:rsidRPr="00DB1ACC">
      <w:rPr>
        <w:rFonts w:ascii="Calibri" w:eastAsia="Calibri" w:hAnsi="Calibri" w:cs="Calibri"/>
        <w:b/>
        <w:color w:val="000000"/>
        <w:lang w:val="es-CO" w:eastAsia="en-US" w:bidi="ar-SA"/>
      </w:rPr>
      <w:t>IBAGUÉ VIBRA</w:t>
    </w:r>
    <w:bookmarkStart w:id="1" w:name="_1fob9te" w:colFirst="0" w:colLast="0"/>
    <w:bookmarkEnd w:id="1"/>
  </w:p>
  <w:p w:rsidR="00DB1ACC" w:rsidRPr="00DB1ACC" w:rsidRDefault="00400FC3" w:rsidP="00DB1ACC">
    <w:pPr>
      <w:widowControl/>
      <w:pBdr>
        <w:top w:val="nil"/>
        <w:left w:val="nil"/>
        <w:bottom w:val="nil"/>
        <w:right w:val="nil"/>
        <w:between w:val="nil"/>
      </w:pBdr>
      <w:autoSpaceDE/>
      <w:autoSpaceDN/>
      <w:jc w:val="right"/>
      <w:rPr>
        <w:rFonts w:ascii="Calibri" w:eastAsia="Calibri" w:hAnsi="Calibri" w:cs="Calibri"/>
        <w:sz w:val="16"/>
        <w:szCs w:val="16"/>
        <w:lang w:val="es-CO" w:eastAsia="en-US" w:bidi="ar-SA"/>
      </w:rPr>
    </w:pPr>
    <w:r w:rsidRPr="00DB1ACC">
      <w:rPr>
        <w:rFonts w:ascii="Calibri" w:eastAsia="Calibri" w:hAnsi="Calibri" w:cs="Calibri"/>
        <w:b/>
        <w:color w:val="000000"/>
        <w:sz w:val="16"/>
        <w:szCs w:val="16"/>
        <w:lang w:val="es-CO" w:eastAsia="en-US" w:bidi="ar-SA"/>
      </w:rPr>
      <w:t xml:space="preserve">Sede Administrativa: Carrera 3 No. 1-04 B/La Pola </w:t>
    </w:r>
  </w:p>
  <w:p w:rsidR="00DB1ACC" w:rsidRPr="00DB1ACC" w:rsidRDefault="00400FC3" w:rsidP="00DB1ACC">
    <w:pPr>
      <w:widowControl/>
      <w:pBdr>
        <w:top w:val="nil"/>
        <w:left w:val="nil"/>
        <w:bottom w:val="nil"/>
        <w:right w:val="nil"/>
        <w:between w:val="nil"/>
      </w:pBdr>
      <w:autoSpaceDE/>
      <w:autoSpaceDN/>
      <w:jc w:val="right"/>
      <w:rPr>
        <w:rFonts w:ascii="Calibri" w:eastAsia="Calibri" w:hAnsi="Calibri" w:cs="Calibri"/>
        <w:color w:val="000000"/>
        <w:sz w:val="16"/>
        <w:szCs w:val="16"/>
        <w:lang w:val="es-CO" w:eastAsia="en-US" w:bidi="ar-SA"/>
      </w:rPr>
    </w:pPr>
    <w:r w:rsidRPr="00DB1ACC">
      <w:rPr>
        <w:rFonts w:ascii="Calibri" w:eastAsia="Calibri" w:hAnsi="Calibri" w:cs="Calibri"/>
        <w:b/>
        <w:color w:val="000000"/>
        <w:sz w:val="16"/>
        <w:szCs w:val="16"/>
        <w:lang w:val="es-CO" w:eastAsia="en-US" w:bidi="ar-SA"/>
      </w:rPr>
      <w:t xml:space="preserve">– </w:t>
    </w:r>
    <w:proofErr w:type="spellStart"/>
    <w:r w:rsidRPr="00DB1ACC">
      <w:rPr>
        <w:rFonts w:ascii="Calibri" w:eastAsia="Calibri" w:hAnsi="Calibri" w:cs="Calibri"/>
        <w:b/>
        <w:color w:val="000000"/>
        <w:sz w:val="16"/>
        <w:szCs w:val="16"/>
        <w:lang w:val="es-CO" w:eastAsia="en-US" w:bidi="ar-SA"/>
      </w:rPr>
      <w:t>Pbx</w:t>
    </w:r>
    <w:proofErr w:type="spellEnd"/>
    <w:r w:rsidRPr="00DB1ACC">
      <w:rPr>
        <w:rFonts w:ascii="Calibri" w:eastAsia="Calibri" w:hAnsi="Calibri" w:cs="Calibri"/>
        <w:b/>
        <w:color w:val="000000"/>
        <w:sz w:val="16"/>
        <w:szCs w:val="16"/>
        <w:lang w:val="es-CO" w:eastAsia="en-US" w:bidi="ar-SA"/>
      </w:rPr>
      <w:t>: (8)2756000 – Fax: (8) 2618982</w:t>
    </w:r>
  </w:p>
  <w:p w:rsidR="00DB1ACC" w:rsidRPr="00DB1ACC" w:rsidRDefault="00400FC3" w:rsidP="00DB1ACC">
    <w:pPr>
      <w:widowControl/>
      <w:pBdr>
        <w:top w:val="nil"/>
        <w:left w:val="nil"/>
        <w:bottom w:val="nil"/>
        <w:right w:val="nil"/>
        <w:between w:val="nil"/>
      </w:pBdr>
      <w:autoSpaceDE/>
      <w:autoSpaceDN/>
      <w:jc w:val="right"/>
      <w:rPr>
        <w:rFonts w:ascii="Calibri" w:eastAsia="Calibri" w:hAnsi="Calibri" w:cs="Calibri"/>
        <w:color w:val="000000"/>
        <w:sz w:val="16"/>
        <w:szCs w:val="16"/>
        <w:lang w:val="es-CO" w:eastAsia="en-US" w:bidi="ar-SA"/>
      </w:rPr>
    </w:pPr>
    <w:r w:rsidRPr="00DB1ACC">
      <w:rPr>
        <w:rFonts w:ascii="Calibri" w:eastAsia="Calibri" w:hAnsi="Calibri" w:cs="Calibri"/>
        <w:b/>
        <w:color w:val="000000"/>
        <w:sz w:val="16"/>
        <w:szCs w:val="16"/>
        <w:lang w:val="es-CO" w:eastAsia="en-US" w:bidi="ar-SA"/>
      </w:rPr>
      <w:t>P.Q.R: Carrera 5 No. 41-16 edificio F25 Piso 2</w:t>
    </w:r>
  </w:p>
  <w:p w:rsidR="00DB1ACC" w:rsidRPr="00DB1ACC" w:rsidRDefault="00400FC3" w:rsidP="00DB1ACC">
    <w:pPr>
      <w:widowControl/>
      <w:pBdr>
        <w:top w:val="nil"/>
        <w:left w:val="nil"/>
        <w:bottom w:val="nil"/>
        <w:right w:val="nil"/>
        <w:between w:val="nil"/>
      </w:pBdr>
      <w:autoSpaceDE/>
      <w:autoSpaceDN/>
      <w:jc w:val="right"/>
      <w:rPr>
        <w:rFonts w:ascii="Calibri" w:eastAsia="Calibri" w:hAnsi="Calibri" w:cs="Calibri"/>
        <w:color w:val="000000"/>
        <w:sz w:val="16"/>
        <w:szCs w:val="16"/>
        <w:lang w:val="es-CO" w:eastAsia="en-US" w:bidi="ar-SA"/>
      </w:rPr>
    </w:pPr>
    <w:r w:rsidRPr="00DB1ACC">
      <w:rPr>
        <w:rFonts w:ascii="Calibri" w:eastAsia="Calibri" w:hAnsi="Calibri" w:cs="Calibri"/>
        <w:b/>
        <w:color w:val="000000"/>
        <w:sz w:val="16"/>
        <w:szCs w:val="16"/>
        <w:lang w:val="es-CO" w:eastAsia="en-US" w:bidi="ar-SA"/>
      </w:rPr>
      <w:t>CANALES DE ATENCIÓN (116) Ibagué – Tolima /</w:t>
    </w:r>
  </w:p>
  <w:p w:rsidR="00DB1ACC" w:rsidRPr="00DB1ACC" w:rsidRDefault="00400FC3" w:rsidP="00DB1ACC">
    <w:pPr>
      <w:widowControl/>
      <w:pBdr>
        <w:top w:val="nil"/>
        <w:left w:val="nil"/>
        <w:bottom w:val="nil"/>
        <w:right w:val="nil"/>
        <w:between w:val="nil"/>
      </w:pBdr>
      <w:autoSpaceDE/>
      <w:autoSpaceDN/>
      <w:jc w:val="right"/>
      <w:rPr>
        <w:rFonts w:ascii="Calibri" w:eastAsia="Calibri" w:hAnsi="Calibri" w:cs="Calibri"/>
        <w:color w:val="000000"/>
        <w:lang w:val="es-CO" w:eastAsia="en-US" w:bidi="ar-SA"/>
      </w:rPr>
    </w:pPr>
    <w:r w:rsidRPr="00DB1ACC">
      <w:rPr>
        <w:rFonts w:ascii="Calibri" w:eastAsia="Calibri" w:hAnsi="Calibri" w:cs="Calibri"/>
        <w:b/>
        <w:color w:val="000000"/>
        <w:sz w:val="16"/>
        <w:szCs w:val="16"/>
        <w:lang w:val="es-CO" w:eastAsia="en-US" w:bidi="ar-SA"/>
      </w:rPr>
      <w:t xml:space="preserve"> </w:t>
    </w:r>
    <w:hyperlink r:id="rId2">
      <w:r w:rsidRPr="00DB1ACC">
        <w:rPr>
          <w:rFonts w:ascii="Calibri" w:eastAsia="Calibri" w:hAnsi="Calibri" w:cs="Calibri"/>
          <w:b/>
          <w:color w:val="0000FF"/>
          <w:sz w:val="16"/>
          <w:szCs w:val="16"/>
          <w:u w:val="single"/>
          <w:lang w:val="es-CO" w:eastAsia="en-US" w:bidi="ar-SA"/>
        </w:rPr>
        <w:t>www.ibal.gov.co</w:t>
      </w:r>
    </w:hyperlink>
    <w:r w:rsidRPr="00DB1ACC">
      <w:rPr>
        <w:rFonts w:ascii="Calibri" w:eastAsia="Calibri" w:hAnsi="Calibri" w:cs="Calibri"/>
        <w:b/>
        <w:color w:val="000000"/>
        <w:sz w:val="16"/>
        <w:szCs w:val="16"/>
        <w:lang w:val="es-CO" w:eastAsia="en-US" w:bidi="ar-SA"/>
      </w:rPr>
      <w:t xml:space="preserve"> – </w:t>
    </w:r>
    <w:hyperlink r:id="rId3">
      <w:r w:rsidRPr="00DB1ACC">
        <w:rPr>
          <w:rFonts w:ascii="Calibri" w:eastAsia="Calibri" w:hAnsi="Calibri" w:cs="Calibri"/>
          <w:b/>
          <w:color w:val="0000FF"/>
          <w:sz w:val="16"/>
          <w:szCs w:val="16"/>
          <w:u w:val="single"/>
          <w:lang w:val="es-CO" w:eastAsia="en-US" w:bidi="ar-SA"/>
        </w:rPr>
        <w:t>ventanilla.unica@ibal.gov.co</w:t>
      </w:r>
    </w:hyperlink>
  </w:p>
  <w:p w:rsidR="00DB1ACC" w:rsidRDefault="00400FC3" w:rsidP="00DB1ACC">
    <w:pPr>
      <w:widowControl/>
      <w:pBdr>
        <w:top w:val="nil"/>
        <w:left w:val="nil"/>
        <w:bottom w:val="nil"/>
        <w:right w:val="nil"/>
        <w:between w:val="nil"/>
      </w:pBdr>
      <w:tabs>
        <w:tab w:val="left" w:pos="8505"/>
      </w:tabs>
      <w:autoSpaceDE/>
      <w:autoSpaceDN/>
      <w:jc w:val="right"/>
      <w:rPr>
        <w:rFonts w:ascii="Calibri" w:eastAsia="Calibri" w:hAnsi="Calibri" w:cs="Calibri"/>
        <w:color w:val="000000"/>
        <w:sz w:val="20"/>
        <w:szCs w:val="20"/>
        <w:lang w:val="es-CO" w:eastAsia="en-US" w:bidi="ar-SA"/>
      </w:rPr>
    </w:pPr>
  </w:p>
  <w:p w:rsidR="007C10F8" w:rsidRPr="00DB1ACC" w:rsidRDefault="00400FC3" w:rsidP="00DB1ACC">
    <w:pPr>
      <w:widowControl/>
      <w:pBdr>
        <w:top w:val="nil"/>
        <w:left w:val="nil"/>
        <w:bottom w:val="nil"/>
        <w:right w:val="nil"/>
        <w:between w:val="nil"/>
      </w:pBdr>
      <w:tabs>
        <w:tab w:val="left" w:pos="8505"/>
      </w:tabs>
      <w:autoSpaceDE/>
      <w:autoSpaceDN/>
      <w:jc w:val="right"/>
      <w:rPr>
        <w:rFonts w:ascii="Calibri" w:eastAsia="Calibri" w:hAnsi="Calibri" w:cs="Calibri"/>
        <w:color w:val="000000"/>
        <w:sz w:val="20"/>
        <w:szCs w:val="20"/>
        <w:lang w:val="es-CO"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F43"/>
    <w:multiLevelType w:val="hybridMultilevel"/>
    <w:tmpl w:val="3D126B0A"/>
    <w:lvl w:ilvl="0" w:tplc="EB9C49B4">
      <w:numFmt w:val="bullet"/>
      <w:lvlText w:val="•"/>
      <w:lvlJc w:val="left"/>
      <w:pPr>
        <w:ind w:left="118" w:hanging="151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16D43536">
      <w:numFmt w:val="bullet"/>
      <w:lvlText w:val="•"/>
      <w:lvlJc w:val="left"/>
      <w:pPr>
        <w:ind w:left="1072" w:hanging="151"/>
      </w:pPr>
      <w:rPr>
        <w:rFonts w:hint="default"/>
        <w:lang w:val="es-ES" w:eastAsia="es-ES" w:bidi="es-ES"/>
      </w:rPr>
    </w:lvl>
    <w:lvl w:ilvl="2" w:tplc="AE022660">
      <w:numFmt w:val="bullet"/>
      <w:lvlText w:val="•"/>
      <w:lvlJc w:val="left"/>
      <w:pPr>
        <w:ind w:left="2024" w:hanging="151"/>
      </w:pPr>
      <w:rPr>
        <w:rFonts w:hint="default"/>
        <w:lang w:val="es-ES" w:eastAsia="es-ES" w:bidi="es-ES"/>
      </w:rPr>
    </w:lvl>
    <w:lvl w:ilvl="3" w:tplc="90302348">
      <w:numFmt w:val="bullet"/>
      <w:lvlText w:val="•"/>
      <w:lvlJc w:val="left"/>
      <w:pPr>
        <w:ind w:left="2976" w:hanging="151"/>
      </w:pPr>
      <w:rPr>
        <w:rFonts w:hint="default"/>
        <w:lang w:val="es-ES" w:eastAsia="es-ES" w:bidi="es-ES"/>
      </w:rPr>
    </w:lvl>
    <w:lvl w:ilvl="4" w:tplc="CF545F1E">
      <w:numFmt w:val="bullet"/>
      <w:lvlText w:val="•"/>
      <w:lvlJc w:val="left"/>
      <w:pPr>
        <w:ind w:left="3928" w:hanging="151"/>
      </w:pPr>
      <w:rPr>
        <w:rFonts w:hint="default"/>
        <w:lang w:val="es-ES" w:eastAsia="es-ES" w:bidi="es-ES"/>
      </w:rPr>
    </w:lvl>
    <w:lvl w:ilvl="5" w:tplc="91FAB1E8">
      <w:numFmt w:val="bullet"/>
      <w:lvlText w:val="•"/>
      <w:lvlJc w:val="left"/>
      <w:pPr>
        <w:ind w:left="4880" w:hanging="151"/>
      </w:pPr>
      <w:rPr>
        <w:rFonts w:hint="default"/>
        <w:lang w:val="es-ES" w:eastAsia="es-ES" w:bidi="es-ES"/>
      </w:rPr>
    </w:lvl>
    <w:lvl w:ilvl="6" w:tplc="C1C677E0">
      <w:numFmt w:val="bullet"/>
      <w:lvlText w:val="•"/>
      <w:lvlJc w:val="left"/>
      <w:pPr>
        <w:ind w:left="5832" w:hanging="151"/>
      </w:pPr>
      <w:rPr>
        <w:rFonts w:hint="default"/>
        <w:lang w:val="es-ES" w:eastAsia="es-ES" w:bidi="es-ES"/>
      </w:rPr>
    </w:lvl>
    <w:lvl w:ilvl="7" w:tplc="71D8F11E">
      <w:numFmt w:val="bullet"/>
      <w:lvlText w:val="•"/>
      <w:lvlJc w:val="left"/>
      <w:pPr>
        <w:ind w:left="6784" w:hanging="151"/>
      </w:pPr>
      <w:rPr>
        <w:rFonts w:hint="default"/>
        <w:lang w:val="es-ES" w:eastAsia="es-ES" w:bidi="es-ES"/>
      </w:rPr>
    </w:lvl>
    <w:lvl w:ilvl="8" w:tplc="B5D8B91C">
      <w:numFmt w:val="bullet"/>
      <w:lvlText w:val="•"/>
      <w:lvlJc w:val="left"/>
      <w:pPr>
        <w:ind w:left="7736" w:hanging="151"/>
      </w:pPr>
      <w:rPr>
        <w:rFonts w:hint="default"/>
        <w:lang w:val="es-ES" w:eastAsia="es-ES" w:bidi="es-ES"/>
      </w:rPr>
    </w:lvl>
  </w:abstractNum>
  <w:abstractNum w:abstractNumId="1" w15:restartNumberingAfterBreak="0">
    <w:nsid w:val="1F6D6029"/>
    <w:multiLevelType w:val="hybridMultilevel"/>
    <w:tmpl w:val="9C946146"/>
    <w:lvl w:ilvl="0" w:tplc="12E8CEAA">
      <w:numFmt w:val="bullet"/>
      <w:lvlText w:val=""/>
      <w:lvlJc w:val="left"/>
      <w:pPr>
        <w:ind w:left="478" w:hanging="360"/>
      </w:pPr>
      <w:rPr>
        <w:rFonts w:ascii="Wingdings" w:eastAsia="Wingdings" w:hAnsi="Wingdings" w:cs="Wingdings" w:hint="default"/>
        <w:color w:val="1E1E1E"/>
        <w:w w:val="99"/>
        <w:sz w:val="20"/>
        <w:szCs w:val="20"/>
        <w:lang w:val="es-ES" w:eastAsia="es-ES" w:bidi="es-ES"/>
      </w:rPr>
    </w:lvl>
    <w:lvl w:ilvl="1" w:tplc="E0F250F2">
      <w:numFmt w:val="bullet"/>
      <w:lvlText w:val="•"/>
      <w:lvlJc w:val="left"/>
      <w:pPr>
        <w:ind w:left="1396" w:hanging="360"/>
      </w:pPr>
      <w:rPr>
        <w:rFonts w:hint="default"/>
        <w:lang w:val="es-ES" w:eastAsia="es-ES" w:bidi="es-ES"/>
      </w:rPr>
    </w:lvl>
    <w:lvl w:ilvl="2" w:tplc="D1961E32">
      <w:numFmt w:val="bullet"/>
      <w:lvlText w:val="•"/>
      <w:lvlJc w:val="left"/>
      <w:pPr>
        <w:ind w:left="2312" w:hanging="360"/>
      </w:pPr>
      <w:rPr>
        <w:rFonts w:hint="default"/>
        <w:lang w:val="es-ES" w:eastAsia="es-ES" w:bidi="es-ES"/>
      </w:rPr>
    </w:lvl>
    <w:lvl w:ilvl="3" w:tplc="DD86E96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4" w:tplc="F1C26A50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5" w:tplc="0E6450A6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6" w:tplc="4024FAC4">
      <w:numFmt w:val="bullet"/>
      <w:lvlText w:val="•"/>
      <w:lvlJc w:val="left"/>
      <w:pPr>
        <w:ind w:left="5976" w:hanging="360"/>
      </w:pPr>
      <w:rPr>
        <w:rFonts w:hint="default"/>
        <w:lang w:val="es-ES" w:eastAsia="es-ES" w:bidi="es-ES"/>
      </w:rPr>
    </w:lvl>
    <w:lvl w:ilvl="7" w:tplc="EB885B54">
      <w:numFmt w:val="bullet"/>
      <w:lvlText w:val="•"/>
      <w:lvlJc w:val="left"/>
      <w:pPr>
        <w:ind w:left="6892" w:hanging="360"/>
      </w:pPr>
      <w:rPr>
        <w:rFonts w:hint="default"/>
        <w:lang w:val="es-ES" w:eastAsia="es-ES" w:bidi="es-ES"/>
      </w:rPr>
    </w:lvl>
    <w:lvl w:ilvl="8" w:tplc="1EB2F972">
      <w:numFmt w:val="bullet"/>
      <w:lvlText w:val="•"/>
      <w:lvlJc w:val="left"/>
      <w:pPr>
        <w:ind w:left="780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DE9508A"/>
    <w:multiLevelType w:val="hybridMultilevel"/>
    <w:tmpl w:val="E64800F4"/>
    <w:lvl w:ilvl="0" w:tplc="CA1AD002">
      <w:start w:val="1"/>
      <w:numFmt w:val="decimal"/>
      <w:lvlText w:val="%1."/>
      <w:lvlJc w:val="left"/>
      <w:pPr>
        <w:ind w:left="118" w:hanging="35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8C062C1E">
      <w:numFmt w:val="bullet"/>
      <w:lvlText w:val="•"/>
      <w:lvlJc w:val="left"/>
      <w:pPr>
        <w:ind w:left="1184" w:hanging="706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2" w:tplc="E730ABE6">
      <w:numFmt w:val="bullet"/>
      <w:lvlText w:val="•"/>
      <w:lvlJc w:val="left"/>
      <w:pPr>
        <w:ind w:left="2120" w:hanging="706"/>
      </w:pPr>
      <w:rPr>
        <w:rFonts w:hint="default"/>
        <w:lang w:val="es-ES" w:eastAsia="es-ES" w:bidi="es-ES"/>
      </w:rPr>
    </w:lvl>
    <w:lvl w:ilvl="3" w:tplc="3DBE08D2">
      <w:numFmt w:val="bullet"/>
      <w:lvlText w:val="•"/>
      <w:lvlJc w:val="left"/>
      <w:pPr>
        <w:ind w:left="3060" w:hanging="706"/>
      </w:pPr>
      <w:rPr>
        <w:rFonts w:hint="default"/>
        <w:lang w:val="es-ES" w:eastAsia="es-ES" w:bidi="es-ES"/>
      </w:rPr>
    </w:lvl>
    <w:lvl w:ilvl="4" w:tplc="CECA91F2">
      <w:numFmt w:val="bullet"/>
      <w:lvlText w:val="•"/>
      <w:lvlJc w:val="left"/>
      <w:pPr>
        <w:ind w:left="4000" w:hanging="706"/>
      </w:pPr>
      <w:rPr>
        <w:rFonts w:hint="default"/>
        <w:lang w:val="es-ES" w:eastAsia="es-ES" w:bidi="es-ES"/>
      </w:rPr>
    </w:lvl>
    <w:lvl w:ilvl="5" w:tplc="70168AD4">
      <w:numFmt w:val="bullet"/>
      <w:lvlText w:val="•"/>
      <w:lvlJc w:val="left"/>
      <w:pPr>
        <w:ind w:left="4940" w:hanging="706"/>
      </w:pPr>
      <w:rPr>
        <w:rFonts w:hint="default"/>
        <w:lang w:val="es-ES" w:eastAsia="es-ES" w:bidi="es-ES"/>
      </w:rPr>
    </w:lvl>
    <w:lvl w:ilvl="6" w:tplc="60D0AA02">
      <w:numFmt w:val="bullet"/>
      <w:lvlText w:val="•"/>
      <w:lvlJc w:val="left"/>
      <w:pPr>
        <w:ind w:left="5880" w:hanging="706"/>
      </w:pPr>
      <w:rPr>
        <w:rFonts w:hint="default"/>
        <w:lang w:val="es-ES" w:eastAsia="es-ES" w:bidi="es-ES"/>
      </w:rPr>
    </w:lvl>
    <w:lvl w:ilvl="7" w:tplc="7F9AA848">
      <w:numFmt w:val="bullet"/>
      <w:lvlText w:val="•"/>
      <w:lvlJc w:val="left"/>
      <w:pPr>
        <w:ind w:left="6820" w:hanging="706"/>
      </w:pPr>
      <w:rPr>
        <w:rFonts w:hint="default"/>
        <w:lang w:val="es-ES" w:eastAsia="es-ES" w:bidi="es-ES"/>
      </w:rPr>
    </w:lvl>
    <w:lvl w:ilvl="8" w:tplc="8458A2F2">
      <w:numFmt w:val="bullet"/>
      <w:lvlText w:val="•"/>
      <w:lvlJc w:val="left"/>
      <w:pPr>
        <w:ind w:left="7760" w:hanging="70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7"/>
    <w:rsid w:val="0017550F"/>
    <w:rsid w:val="00324197"/>
    <w:rsid w:val="00400FC3"/>
    <w:rsid w:val="005A480B"/>
    <w:rsid w:val="007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CC69"/>
  <w15:chartTrackingRefBased/>
  <w15:docId w15:val="{7247C39D-F6E5-4EC6-A0C4-04201E05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324197"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4197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2419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4197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24197"/>
    <w:pPr>
      <w:ind w:left="118"/>
    </w:pPr>
  </w:style>
  <w:style w:type="character" w:styleId="Hipervnculo">
    <w:name w:val="Hyperlink"/>
    <w:basedOn w:val="Fuentedeprrafopredeter"/>
    <w:uiPriority w:val="99"/>
    <w:unhideWhenUsed/>
    <w:rsid w:val="0032419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0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drive.google.com/drive/folders/1Va5RozaceAvbHD02wVyE17YfOcxuHf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nilla.unica@ibal.gov.co" TargetMode="External"/><Relationship Id="rId2" Type="http://schemas.openxmlformats.org/officeDocument/2006/relationships/hyperlink" Target="http://www.ib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Cruz</dc:creator>
  <cp:keywords/>
  <dc:description/>
  <cp:lastModifiedBy>Milena Cruz </cp:lastModifiedBy>
  <cp:revision>3</cp:revision>
  <dcterms:created xsi:type="dcterms:W3CDTF">2022-08-30T20:02:00Z</dcterms:created>
  <dcterms:modified xsi:type="dcterms:W3CDTF">2022-08-30T20:40:00Z</dcterms:modified>
</cp:coreProperties>
</file>